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eastAsia="方正仿宋_GBK"/>
          <w:sz w:val="28"/>
          <w:szCs w:val="28"/>
        </w:rPr>
      </w:pPr>
      <w:bookmarkStart w:id="0" w:name="_GoBack"/>
      <w:bookmarkEnd w:id="0"/>
      <w:r>
        <w:rPr>
          <w:rFonts w:eastAsia="方正黑体_GBK"/>
          <w:sz w:val="32"/>
          <w:szCs w:val="32"/>
        </w:rPr>
        <w:t>附件</w:t>
      </w:r>
      <w:r>
        <w:rPr>
          <w:rFonts w:hint="eastAsia" w:eastAsia="方正黑体_GBK"/>
          <w:sz w:val="32"/>
          <w:szCs w:val="32"/>
        </w:rPr>
        <w:t>2</w:t>
      </w:r>
    </w:p>
    <w:p>
      <w:pPr>
        <w:spacing w:line="600" w:lineRule="exact"/>
        <w:jc w:val="center"/>
        <w:rPr>
          <w:rFonts w:eastAsia="方正小标宋_GBK"/>
          <w:sz w:val="44"/>
          <w:szCs w:val="44"/>
        </w:rPr>
      </w:pPr>
      <w:r>
        <w:rPr>
          <w:rFonts w:eastAsia="方正小标宋_GBK"/>
          <w:sz w:val="44"/>
          <w:szCs w:val="44"/>
        </w:rPr>
        <w:t>重庆市考试录用公务员专业参考目录</w:t>
      </w:r>
    </w:p>
    <w:p>
      <w:pPr>
        <w:spacing w:line="480" w:lineRule="exact"/>
        <w:jc w:val="center"/>
        <w:rPr>
          <w:rFonts w:eastAsia="方正仿宋_GBK"/>
          <w:sz w:val="28"/>
          <w:szCs w:val="28"/>
        </w:rPr>
      </w:pPr>
      <w:r>
        <w:rPr>
          <w:rFonts w:eastAsia="方正仿宋_GBK"/>
          <w:sz w:val="28"/>
          <w:szCs w:val="28"/>
        </w:rPr>
        <w:t>（2015年8月修订）</w:t>
      </w:r>
    </w:p>
    <w:p>
      <w:pPr>
        <w:spacing w:line="600" w:lineRule="exact"/>
        <w:ind w:firstLine="420" w:firstLineChars="200"/>
        <w:rPr>
          <w:rFonts w:eastAsia="方正仿宋_GBK"/>
        </w:rPr>
      </w:pPr>
    </w:p>
    <w:p>
      <w:pPr>
        <w:spacing w:line="480" w:lineRule="exact"/>
        <w:ind w:firstLine="600" w:firstLineChars="200"/>
        <w:rPr>
          <w:rFonts w:eastAsia="方正仿宋_GBK"/>
          <w:sz w:val="30"/>
          <w:szCs w:val="30"/>
        </w:rPr>
      </w:pPr>
      <w:r>
        <w:rPr>
          <w:rFonts w:eastAsia="方正仿宋_GBK"/>
          <w:sz w:val="30"/>
          <w:szCs w:val="30"/>
        </w:rPr>
        <w:t>为规范我市招录机关（单位）的专业条件设置和审核工作、方便考生报考，在参考国家教育行政部门颁布的高校专业目录的基础上，经广泛征求意见并结合我市实际，我们编撰了《重庆市考试录用公务员专业参考目录》（以下简称《参考目录》）。</w:t>
      </w:r>
    </w:p>
    <w:p>
      <w:pPr>
        <w:spacing w:line="480" w:lineRule="exact"/>
        <w:ind w:firstLine="600" w:firstLineChars="200"/>
        <w:rPr>
          <w:rFonts w:eastAsia="方正仿宋_GBK"/>
          <w:sz w:val="30"/>
          <w:szCs w:val="30"/>
        </w:rPr>
      </w:pPr>
      <w:r>
        <w:rPr>
          <w:rFonts w:eastAsia="方正仿宋_GBK"/>
          <w:sz w:val="30"/>
          <w:szCs w:val="30"/>
        </w:rPr>
        <w:t>一、本《参考目录》参照教育部门的分类规则，分为2个“科别”，12个“学科门类”，94个“专业类”，并按学历层次分为若干具体专业名称。</w:t>
      </w:r>
    </w:p>
    <w:p>
      <w:pPr>
        <w:spacing w:line="480" w:lineRule="exact"/>
        <w:ind w:firstLine="600" w:firstLineChars="200"/>
        <w:rPr>
          <w:rFonts w:eastAsia="方正仿宋_GBK"/>
          <w:sz w:val="30"/>
          <w:szCs w:val="30"/>
        </w:rPr>
      </w:pPr>
      <w:r>
        <w:rPr>
          <w:rFonts w:eastAsia="方正仿宋_GBK"/>
          <w:sz w:val="30"/>
          <w:szCs w:val="30"/>
        </w:rPr>
        <w:t>二、公招计划一览表中的专业要求，由招录机关（单位）设置并负责解释，本《参考目录》仅供招录机关（单位）在设置专业要求及考生报考岗位时参考。报考人员应按照岗位资格条件中设置的专业要求，确定本人毕业证书上所列专业名称与岗位要求的专业名称一致后，才能报名。</w:t>
      </w:r>
    </w:p>
    <w:p>
      <w:pPr>
        <w:spacing w:line="480" w:lineRule="exact"/>
        <w:ind w:firstLine="600" w:firstLineChars="200"/>
        <w:rPr>
          <w:rFonts w:eastAsia="方正仿宋_GBK"/>
          <w:sz w:val="30"/>
          <w:szCs w:val="30"/>
        </w:rPr>
      </w:pPr>
      <w:r>
        <w:rPr>
          <w:rFonts w:eastAsia="方正仿宋_GBK"/>
          <w:sz w:val="30"/>
          <w:szCs w:val="30"/>
        </w:rPr>
        <w:t>三、对于取得全日制普通高等院校普通本科及以上学历并取得学士及以上学位的报考人员，若在校期间取得辅修专业证书、第二专业证书的，可按照在校期间取得的辅修专业证书、第二专业证书上所载明的专业报考。</w:t>
      </w:r>
    </w:p>
    <w:p>
      <w:pPr>
        <w:spacing w:line="480" w:lineRule="exact"/>
        <w:ind w:firstLine="600" w:firstLineChars="200"/>
        <w:rPr>
          <w:rFonts w:eastAsia="方正仿宋_GBK"/>
          <w:sz w:val="30"/>
          <w:szCs w:val="30"/>
        </w:rPr>
      </w:pPr>
      <w:r>
        <w:rPr>
          <w:rFonts w:eastAsia="方正仿宋_GBK"/>
          <w:sz w:val="30"/>
          <w:szCs w:val="30"/>
        </w:rPr>
        <w:t>四、报考人员要严格执行诚信报考的有关规定，对于填报符合岗位要求专业名称的虚假专业名称信息的，将按照诚信报考有关规定执行。</w:t>
      </w:r>
    </w:p>
    <w:p>
      <w:pPr>
        <w:spacing w:line="480" w:lineRule="exact"/>
        <w:ind w:firstLine="600" w:firstLineChars="200"/>
        <w:rPr>
          <w:rFonts w:eastAsia="方正仿宋_GBK"/>
          <w:sz w:val="30"/>
          <w:szCs w:val="30"/>
        </w:rPr>
      </w:pPr>
    </w:p>
    <w:p>
      <w:pPr>
        <w:spacing w:line="480" w:lineRule="exact"/>
        <w:ind w:firstLine="600" w:firstLineChars="200"/>
        <w:rPr>
          <w:rFonts w:eastAsia="方正仿宋_GBK"/>
          <w:sz w:val="30"/>
          <w:szCs w:val="30"/>
        </w:rPr>
      </w:pPr>
      <w:r>
        <w:rPr>
          <w:rFonts w:eastAsia="方正仿宋_GBK"/>
          <w:sz w:val="30"/>
          <w:szCs w:val="30"/>
        </w:rPr>
        <w:t xml:space="preserve">                                  2015年8月</w:t>
      </w:r>
    </w:p>
    <w:p>
      <w:pPr>
        <w:sectPr>
          <w:pgSz w:w="11906" w:h="16838"/>
          <w:pgMar w:top="1440" w:right="1800" w:bottom="1440" w:left="1800" w:header="851" w:footer="992" w:gutter="0"/>
          <w:cols w:space="425" w:num="1"/>
          <w:docGrid w:type="lines" w:linePitch="312" w:charSpace="0"/>
        </w:sectPr>
      </w:pPr>
    </w:p>
    <w:tbl>
      <w:tblPr>
        <w:tblStyle w:val="5"/>
        <w:tblW w:w="13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027"/>
        <w:gridCol w:w="905"/>
        <w:gridCol w:w="3684"/>
        <w:gridCol w:w="4083"/>
        <w:gridCol w:w="3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Header/>
          <w:jc w:val="center"/>
        </w:trPr>
        <w:tc>
          <w:tcPr>
            <w:tcW w:w="673" w:type="dxa"/>
            <w:vMerge w:val="restart"/>
            <w:vAlign w:val="center"/>
          </w:tcPr>
          <w:p>
            <w:pPr>
              <w:widowControl/>
              <w:spacing w:line="240" w:lineRule="exact"/>
              <w:jc w:val="center"/>
              <w:rPr>
                <w:rFonts w:eastAsia="方正仿宋_GBK"/>
                <w:b/>
                <w:bCs/>
                <w:kern w:val="0"/>
                <w:sz w:val="18"/>
                <w:szCs w:val="18"/>
              </w:rPr>
            </w:pPr>
            <w:r>
              <w:rPr>
                <w:rFonts w:eastAsia="方正仿宋_GBK"/>
                <w:b/>
                <w:bCs/>
                <w:kern w:val="0"/>
                <w:sz w:val="18"/>
                <w:szCs w:val="18"/>
              </w:rPr>
              <w:t>科别</w:t>
            </w:r>
          </w:p>
        </w:tc>
        <w:tc>
          <w:tcPr>
            <w:tcW w:w="1027" w:type="dxa"/>
            <w:vMerge w:val="restart"/>
            <w:vAlign w:val="center"/>
          </w:tcPr>
          <w:p>
            <w:pPr>
              <w:widowControl/>
              <w:spacing w:line="240" w:lineRule="exact"/>
              <w:ind w:left="-105" w:leftChars="-50" w:right="-105" w:rightChars="-50"/>
              <w:jc w:val="center"/>
              <w:rPr>
                <w:rFonts w:eastAsia="方正仿宋_GBK"/>
                <w:b/>
                <w:bCs/>
                <w:kern w:val="0"/>
                <w:sz w:val="18"/>
                <w:szCs w:val="18"/>
              </w:rPr>
            </w:pPr>
            <w:r>
              <w:rPr>
                <w:rFonts w:eastAsia="方正仿宋_GBK"/>
                <w:b/>
                <w:bCs/>
                <w:kern w:val="0"/>
                <w:sz w:val="18"/>
                <w:szCs w:val="18"/>
              </w:rPr>
              <w:t>学科</w:t>
            </w:r>
          </w:p>
          <w:p>
            <w:pPr>
              <w:widowControl/>
              <w:spacing w:line="240" w:lineRule="exact"/>
              <w:ind w:left="-105" w:leftChars="-50" w:right="-105" w:rightChars="-50"/>
              <w:jc w:val="center"/>
              <w:rPr>
                <w:rFonts w:eastAsia="方正仿宋_GBK"/>
                <w:b/>
                <w:bCs/>
                <w:kern w:val="0"/>
                <w:sz w:val="18"/>
                <w:szCs w:val="18"/>
              </w:rPr>
            </w:pPr>
            <w:r>
              <w:rPr>
                <w:rFonts w:eastAsia="方正仿宋_GBK"/>
                <w:b/>
                <w:bCs/>
                <w:kern w:val="0"/>
                <w:sz w:val="18"/>
                <w:szCs w:val="18"/>
              </w:rPr>
              <w:t>门类</w:t>
            </w:r>
          </w:p>
        </w:tc>
        <w:tc>
          <w:tcPr>
            <w:tcW w:w="905" w:type="dxa"/>
            <w:vMerge w:val="restart"/>
            <w:vAlign w:val="center"/>
          </w:tcPr>
          <w:p>
            <w:pPr>
              <w:widowControl/>
              <w:spacing w:line="240" w:lineRule="exact"/>
              <w:ind w:left="-105" w:leftChars="-50" w:right="-105" w:rightChars="-50"/>
              <w:jc w:val="center"/>
              <w:rPr>
                <w:rFonts w:eastAsia="方正仿宋_GBK"/>
                <w:b/>
                <w:bCs/>
                <w:kern w:val="0"/>
                <w:sz w:val="18"/>
                <w:szCs w:val="18"/>
              </w:rPr>
            </w:pPr>
            <w:r>
              <w:rPr>
                <w:rFonts w:eastAsia="方正仿宋_GBK"/>
                <w:b/>
                <w:bCs/>
                <w:kern w:val="0"/>
                <w:sz w:val="18"/>
                <w:szCs w:val="18"/>
              </w:rPr>
              <w:t>专业类</w:t>
            </w:r>
          </w:p>
        </w:tc>
        <w:tc>
          <w:tcPr>
            <w:tcW w:w="11130" w:type="dxa"/>
            <w:gridSpan w:val="3"/>
            <w:vAlign w:val="center"/>
          </w:tcPr>
          <w:p>
            <w:pPr>
              <w:widowControl/>
              <w:spacing w:line="240" w:lineRule="exact"/>
              <w:jc w:val="center"/>
              <w:rPr>
                <w:rFonts w:eastAsia="方正仿宋_GBK"/>
                <w:b/>
                <w:bCs/>
                <w:kern w:val="0"/>
                <w:sz w:val="18"/>
                <w:szCs w:val="18"/>
              </w:rPr>
            </w:pPr>
            <w:r>
              <w:rPr>
                <w:rFonts w:eastAsia="方正仿宋_GBK"/>
                <w:b/>
                <w:bCs/>
                <w:kern w:val="0"/>
                <w:sz w:val="18"/>
                <w:szCs w:val="18"/>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blHeader/>
          <w:jc w:val="center"/>
        </w:trPr>
        <w:tc>
          <w:tcPr>
            <w:tcW w:w="673" w:type="dxa"/>
            <w:vMerge w:val="continue"/>
            <w:vAlign w:val="center"/>
          </w:tcPr>
          <w:p>
            <w:pPr>
              <w:widowControl/>
              <w:jc w:val="left"/>
              <w:rPr>
                <w:rFonts w:eastAsia="方正仿宋_GBK"/>
                <w:b/>
                <w:bCs/>
                <w:kern w:val="0"/>
                <w:sz w:val="18"/>
                <w:szCs w:val="18"/>
              </w:rPr>
            </w:pPr>
          </w:p>
        </w:tc>
        <w:tc>
          <w:tcPr>
            <w:tcW w:w="1027" w:type="dxa"/>
            <w:vMerge w:val="continue"/>
            <w:vAlign w:val="center"/>
          </w:tcPr>
          <w:p>
            <w:pPr>
              <w:widowControl/>
              <w:jc w:val="left"/>
              <w:rPr>
                <w:rFonts w:eastAsia="方正仿宋_GBK"/>
                <w:b/>
                <w:bCs/>
                <w:kern w:val="0"/>
                <w:sz w:val="18"/>
                <w:szCs w:val="18"/>
              </w:rPr>
            </w:pPr>
          </w:p>
        </w:tc>
        <w:tc>
          <w:tcPr>
            <w:tcW w:w="905" w:type="dxa"/>
            <w:vMerge w:val="continue"/>
            <w:vAlign w:val="center"/>
          </w:tcPr>
          <w:p>
            <w:pPr>
              <w:widowControl/>
              <w:jc w:val="left"/>
              <w:rPr>
                <w:rFonts w:eastAsia="方正仿宋_GBK"/>
                <w:b/>
                <w:bCs/>
                <w:kern w:val="0"/>
                <w:sz w:val="18"/>
                <w:szCs w:val="18"/>
              </w:rPr>
            </w:pPr>
          </w:p>
        </w:tc>
        <w:tc>
          <w:tcPr>
            <w:tcW w:w="3684" w:type="dxa"/>
            <w:vAlign w:val="center"/>
          </w:tcPr>
          <w:p>
            <w:pPr>
              <w:widowControl/>
              <w:spacing w:line="240" w:lineRule="exact"/>
              <w:jc w:val="center"/>
              <w:rPr>
                <w:rFonts w:eastAsia="方正仿宋_GBK"/>
                <w:b/>
                <w:bCs/>
                <w:kern w:val="0"/>
                <w:sz w:val="18"/>
                <w:szCs w:val="18"/>
              </w:rPr>
            </w:pPr>
            <w:r>
              <w:rPr>
                <w:rFonts w:eastAsia="方正仿宋_GBK"/>
                <w:b/>
                <w:bCs/>
                <w:kern w:val="0"/>
                <w:sz w:val="18"/>
                <w:szCs w:val="18"/>
              </w:rPr>
              <w:t>研究生专业</w:t>
            </w:r>
          </w:p>
        </w:tc>
        <w:tc>
          <w:tcPr>
            <w:tcW w:w="4083" w:type="dxa"/>
            <w:vAlign w:val="center"/>
          </w:tcPr>
          <w:p>
            <w:pPr>
              <w:widowControl/>
              <w:spacing w:line="240" w:lineRule="exact"/>
              <w:jc w:val="center"/>
              <w:rPr>
                <w:rFonts w:eastAsia="方正仿宋_GBK"/>
                <w:b/>
                <w:bCs/>
                <w:kern w:val="0"/>
                <w:sz w:val="18"/>
                <w:szCs w:val="18"/>
              </w:rPr>
            </w:pPr>
            <w:r>
              <w:rPr>
                <w:rFonts w:eastAsia="方正仿宋_GBK"/>
                <w:b/>
                <w:bCs/>
                <w:kern w:val="0"/>
                <w:sz w:val="18"/>
                <w:szCs w:val="18"/>
              </w:rPr>
              <w:t>本科专业</w:t>
            </w:r>
          </w:p>
        </w:tc>
        <w:tc>
          <w:tcPr>
            <w:tcW w:w="3363" w:type="dxa"/>
            <w:vAlign w:val="center"/>
          </w:tcPr>
          <w:p>
            <w:pPr>
              <w:widowControl/>
              <w:spacing w:line="240" w:lineRule="exact"/>
              <w:jc w:val="center"/>
              <w:rPr>
                <w:rFonts w:eastAsia="方正仿宋_GBK"/>
                <w:b/>
                <w:bCs/>
                <w:kern w:val="0"/>
                <w:sz w:val="18"/>
                <w:szCs w:val="18"/>
              </w:rPr>
            </w:pPr>
            <w:r>
              <w:rPr>
                <w:rFonts w:eastAsia="方正仿宋_GBK"/>
                <w:b/>
                <w:bCs/>
                <w:kern w:val="0"/>
                <w:sz w:val="18"/>
                <w:szCs w:val="18"/>
              </w:rPr>
              <w:t>专科专业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马克思主义哲学，中国哲学，外国哲学，逻辑学，伦理学，美学，宗教学，科学技术哲学</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哲学，逻辑学，宗教学，伦理学</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经济管理，经济信息管理，资产评估管理，邮电经济管理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财政</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财政学，税收学，税务</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财税，财政学，税收学，税务</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财政，税务，财税，财政与税收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金融</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金融学，保险学，金融工程，投资学，金融，保险，应用金融，金融与管理</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金融学，金融工程，金融管理，保险学，投资学，金融数学，信用管理，经济与金融，保险，国际金融，货币银行学，金融</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贸易类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国际贸易学，服务贸易学</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国际经济与贸易,贸易经济,国际文化贸易，国际贸易</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国际经济与贸易，国际贸易实务，商务经纪与代理，国际贸易，涉外经济与法律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政治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政治学理论，中外政治制度，科学社会主义与国际共产主义运动，中共党史，国际政治，国际关系，外交学，民族政治学，政治与国际研究</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政治学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社会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社会学，人口学，人类学，民俗学，社会工作</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社会学，社会工作，社会工作与管理，人类学，女性学，家政学，人口学</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民族</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民族学，马克思主义民族理论与政策，中国少数民族经济，中国少数民族史，中国少数民族艺术</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民族学，民族理论与民族政策</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马克思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主义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科学社会主义，中国共产党党史，中国共产党历史，思想政治教育，科学社会主义与国际共产主义运动，中国革命史与中国共产党党史</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思想政治教育，政治和思想品德教育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司法</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执行及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物证技术学</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狱政管理，刑事执行，劳教管理，罪犯教育，罪犯心理矫治，监所管理</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 特殊教育），高等学校教师专业，中等职业学校教师专业，汉语国际教育，学科课程与教学论</w:t>
            </w:r>
          </w:p>
        </w:tc>
        <w:tc>
          <w:tcPr>
            <w:tcW w:w="4083" w:type="dxa"/>
            <w:vAlign w:val="center"/>
          </w:tcPr>
          <w:p>
            <w:pPr>
              <w:widowControl/>
              <w:tabs>
                <w:tab w:val="left" w:pos="2902"/>
              </w:tabs>
              <w:spacing w:line="240" w:lineRule="exact"/>
              <w:rPr>
                <w:rFonts w:eastAsia="方正仿宋_GBK"/>
                <w:kern w:val="0"/>
                <w:sz w:val="18"/>
                <w:szCs w:val="18"/>
              </w:rPr>
            </w:pPr>
            <w:r>
              <w:rPr>
                <w:rFonts w:eastAsia="方正仿宋_GBK"/>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体育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体育人文社会学，运动人体科学，体育教育训练学，民族传统体育学，体育硕士专业（体育教学、运动训练、竞赛组织、社会体育指导）</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竞技体育，运动训练，社会体育，体育保健，体育服务与管理，武术，体育，民族传统体育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外国语言文学类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新闻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传播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新闻学，传播学，新闻与传播，出版，出版研究，编辑出版学，媒体与文化分析专业，国际新闻</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历史学，世界史，世界历史，考古学，博物馆学，文物与博物馆学，国际关系史，文物保护技术，外国语言与外国历史</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数学类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基础数学，计算数学，概率论与数理统计，应用数学，运筹学与控制论</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数学与应用数学，信息与计算科学，数理基础科学，应用数学，计算数学及其应用软件，数学</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理论物理，粒子物理与原子核物理，原子与分子物理，等离子体物理，凝聚态物理，声学，光学，光学工程，无线电物理</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物理学，应用物理学，声学，物理学教育，原子核物理学及核技术，核物理，光学，应用光学，光学工程</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化学，无机化学，分析化学，有机化学，物理化学，高分子化学与物理，化学生物学，环境化学，电化学，催化化学，物构化学，农药学，材料物流与化学，</w:t>
            </w:r>
            <w:r>
              <w:rPr>
                <w:rFonts w:eastAsia="方正仿宋_GBK"/>
                <w:bCs/>
                <w:kern w:val="0"/>
                <w:sz w:val="18"/>
                <w:szCs w:val="18"/>
              </w:rPr>
              <w:t>放射化学，化学信息</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化学，应用化学，化学生物学，分子科学与工程，化学教育，</w:t>
            </w:r>
            <w:r>
              <w:rPr>
                <w:rFonts w:eastAsia="方正仿宋_GBK"/>
                <w:bCs/>
                <w:kern w:val="0"/>
                <w:sz w:val="18"/>
                <w:szCs w:val="18"/>
              </w:rPr>
              <w:t>放射化学</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天文</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天体物理，天体测量与天体力学</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天文学</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地理科学类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地理，地理学，自然地理学，人文地理学，地图学与地理信息系统</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73" w:type="dxa"/>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物理海洋学，海洋化学，海洋生物学，海洋地质，海岸带综合管理，海洋物理</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海洋科学，海洋技术，海洋管理，军事海洋学，海洋生物资源与环境，海洋物理学，海洋化学，海洋生物学，海洋资源与环境</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73" w:type="dxa"/>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大气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气象学，大气物理学与大气环境，大气科学</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大气科学，应用气象学，气象学，气候学，大气物理学与大气环境，农业气象</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大气科学技术，大气探测技术，应用气象技术，防雷技术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73" w:type="dxa"/>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固体地球物理学，空间物理学，应用地球物理</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地球物理学，地球与空间科学，空间科学与技术，空间物理学</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73" w:type="dxa"/>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矿物学、岩石学、矿床学，地球化学，古生物学及地层学，构造地质学，第四纪地质学</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地质学，构造地质学，古生物学及地层学，地球化学，地球信息科学与技术，古生物学</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673" w:type="dxa"/>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生物技术及应用，生物实验技术，生物化工工艺，微生物技术及应用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系统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论类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系统理论，系统分析与集成，科学技术史</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系统理论，系统科学与工程，科学技术史</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心理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基础心理学，发展与教育心理学，应用心理学，认知神经科学，应用心理</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心理学，应用心理学，基础心理学</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应用心理学，心理咨询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统计</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统计学，应用统计</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 xml:space="preserve"> 统计学，统计，应用统计学</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统计实务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力学类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一般力学与力学基础，固体力学，流体力学，工程力学</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理论与应用力学，工程力学，工程结构分析</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6"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（三十三）机械类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机械制造及自动化，机械电子工程，机械设计及理论，车辆工程，机械工程，高级制造技术</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 ，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363" w:type="dxa"/>
            <w:vAlign w:val="center"/>
          </w:tcPr>
          <w:p>
            <w:pPr>
              <w:widowControl/>
              <w:spacing w:line="180" w:lineRule="exact"/>
              <w:rPr>
                <w:rFonts w:eastAsia="方正仿宋_GBK"/>
                <w:kern w:val="0"/>
                <w:sz w:val="18"/>
                <w:szCs w:val="18"/>
              </w:rPr>
            </w:pPr>
            <w:r>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仪器类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精密仪器及机械，测试计量技术及仪器，仪器仪表工程，仪器科学与技术</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材料类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材料物理，钢铁冶金，有色金属冶金，冶金物理化学，金属材料与热处理，金属压力加工，无机非金属材料，硅酸盐工程 ，高分子材料与工程， 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能源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动力类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工程热物理，热能工程，动力机械及工程，流体机械及工程，制冷及低温工程，化工过程机械，动力工程，动力工程及工程热物理</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热能动力设备与应用，城市热能应用技术，农村能源与环境技术，制冷与冷藏技术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电气类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电机与电器，电力系统及其自动化，高电压与绝缘技术，电力电子与电力传动，电工理论与新技术，电气工程</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　电气技术，电气工程及其自动化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5"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（三十八）电子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信息类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（三十九） 自动化类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自动化，轨道交通信号与控制，自动控制</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1"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计算机类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3363" w:type="dxa"/>
            <w:vAlign w:val="center"/>
          </w:tcPr>
          <w:p>
            <w:pPr>
              <w:widowControl/>
              <w:spacing w:line="200" w:lineRule="exact"/>
              <w:rPr>
                <w:rFonts w:eastAsia="方正仿宋_GBK"/>
                <w:spacing w:val="-4"/>
                <w:sz w:val="18"/>
                <w:szCs w:val="18"/>
              </w:rPr>
            </w:pPr>
            <w:r>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土木类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 ，供热通风与空调工程，城市燃气工程，工业与民用建筑，建筑工程教育，建筑节能技术与工程，建筑工程管理，给排水与采暖通风工程</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水利类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水文学及水资源，水力学及河流动力学，水工结构工程，水利水电工程 ，港口、海岸及近海工程，水利工程</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测绘类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大地测量学与测量工程，摄影测量与遥感，地图制图学与地理信息工程，测绘工程，测绘科学与技术，土地资源利用与信息技术</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测绘工程，遥感科学与技术，大地测量 ，测量工程，摄影测量与遥感，地图学，土地资源利用与信息技术，导航工程，地理国情监测</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化工与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制药类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化学工程，化学工程领域，化学工艺，生物化工，应用化学，工业催化，制药工程，化学工程与技术，环境技术</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化学工程与工艺，制药工程，油气加工工程，化工与制药，化学工程与工业生物工程，资源循环科学与工程，资源科学与工程，能源化学工程，化学工程 ，化工管理，化工工艺，高分子化工，精细化工，生物化工，工业分析，电化学工程 ，工业催化，化学制药 ，油气储运工程，再生资源科学与技术</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，烟花爆竹安全与质量技术，生化制药技术，生物制药技术，化学制药技术，化工分析与监测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矿产普查与勘探，地球探测与信息技术，地质工程</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地质工程，勘查技术与工程，资源勘查工程，地下水科学与工程，煤及煤层气工程，能源与资源工程</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9"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矿业类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采矿工程，矿物加工工程，油气井工程，油气田开发工，油气储运工程，矿业工程，石油与天然气工程</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 ，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纺织类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纺织工程，纺织材料与纺织品设计，纺织化学与染整工程，服装设计与工程，服装工程</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纺织工程，服装设计与工程，非织造材料与工程，服装设计与工艺教育，纺织类，丝绸工程，针织工程 ，染整工程， 纺织材料及纺织品设计，服装</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轻工类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制浆造纸工程，制糖工程，发酵工程，皮革化学与工程，轻工技术与工程</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皮革工程，轻化工程，包装工程，印刷工程，数字印刷，印刷技术</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交通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运输类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道路与铁道工程，交通信息工程及控制，交通运输规划与管理，载运工具运用工程，交通运输工程</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3363" w:type="dxa"/>
            <w:vAlign w:val="center"/>
          </w:tcPr>
          <w:p>
            <w:pPr>
              <w:widowControl/>
              <w:spacing w:line="220" w:lineRule="exact"/>
              <w:rPr>
                <w:rFonts w:eastAsia="方正仿宋_GBK"/>
                <w:kern w:val="0"/>
                <w:sz w:val="18"/>
                <w:szCs w:val="18"/>
              </w:rPr>
            </w:pPr>
            <w:r>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船舶与海洋结构物设计制造，轮机工程，水声工程，船舶与海洋工程</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船舶与海洋工程，海洋工程与技术, 航道工程技术，海洋资源开发技术,港口与航运管理，港口工程技术</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航空</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航天类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飞行器设计，航空宇航推进理论与工程，航空宇航制造工程，人机与环境工程，航空工程，航天工程</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兵器类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武器系统与运用工程，兵器发射理论与技术，火炮、自动武器与弹药工程，军事化学与烟火技术，兵器工程</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导弹维修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核工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程类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核能科学与工程，核燃料循环与材料，核技术及应用，辐射防护及环境保护，核能与核技术工程，放射性与有害废料管理, 核资源与核勘查工程</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核工程与核技术，核安全工程，工程物理，核化工与核燃料工程，核技术，核反应堆工程，辐射防护与环境工程，辐射防护与核安全</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农业机械化工程，农业水土工程，农业生物环境与能源工程，农业电气化与自动化，农业工程</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森林工程，木材科学与技术，林产化学加工，林业工程</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木材科学与工程，森林工程，林产化工</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林产化工技术，木材加工技术，森林采运工程，森林工程技术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环境科学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环境科学，环境工程，环境管理，生态安全，环境管理与经济，环境经济与环境管理，生态学，工程环境控制</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生物医学工程</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生物医学工程，假肢矫形工程，医疗器械工程</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食品科学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食品科学，粮食、油脂及植物蛋白工程，农产品加工及贮藏工程，水产品加工及贮藏工程，食、油脂及植物蛋白工程，食品工程</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363" w:type="dxa"/>
            <w:vAlign w:val="center"/>
          </w:tcPr>
          <w:p>
            <w:pPr>
              <w:widowControl/>
              <w:spacing w:line="220" w:lineRule="exact"/>
              <w:rPr>
                <w:rFonts w:eastAsia="方正仿宋_GBK"/>
                <w:kern w:val="0"/>
                <w:sz w:val="18"/>
                <w:szCs w:val="18"/>
              </w:rPr>
            </w:pPr>
            <w:r>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建筑类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建筑历史与理论，建筑设计及其理论，城市规划与设计，建筑技术科学，建筑学，城乡规划学，风景园林学，城市规划，房地产和建筑管理</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建筑学，城市规划，城乡规划，景观设计，历史建筑保护工程，景观建筑设计，景观学，风景园林，城镇建设，园林景观设计，建筑经济管理</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城镇建设，城镇规划，建筑装饰技术，建筑经济管理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安全科学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安全科学与工程，安全工程，安全技术及工程</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安全工程，安全科学与工程，雷电防护科学与技术，灾害防治工程</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救援技术，安全技术管理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（六十一）生物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生物工程，微生物学与生化药学</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生物工程，生物制药，生物系统工程，轻工生物技术</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刑事技术，刑事科学技术，警犬技术，船艇动力管理，边防机要，消防工程技术，船艇技术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植物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农学，园艺，植物保护，茶学，烟草，植物科学与技术，种子科学与工程，应用生物科学，设施农业科学与工程，热带作物，果树，蔬菜，观赏园艺 ，土壤与农业化学，药用植物，野生植物资源开发与利用，农艺教育，农产品储运与加工教育，园艺教育，园林教育，植物生物技术，特用作物教育，应用生物教育</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自然保护</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与环境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生态类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环境科学与工程，环境科学，环境工程，水土保持与荒漠化防治</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农业资源与环境，野生动物与自然保护区管理，水土保持与荒漠化防治， 植物资源工程，水土保持，沙漠治理</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野生植物资源开发与利用，野生动物保护，自然保护区建设与管理，水土保持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动物遗传育种与繁殖，动物营养与饲料科学，草业科学，特种经济动物饲养，畜牧学，养殖，农业推广硕士专业（养殖,草业）</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动物科学，蚕学，蜂学，动物生物技术，畜禽生产教育</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畜牧，饲料与动物营养，特种动物养殖，实验动物养殖，蚕桑技术，动物科学与技术，动物科学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（六十六）动物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兽医学，基础兽医学，预防兽医学，临床兽医学，兽医</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动物医学,动物药学,动植物检疫，畜牧兽医</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畜牧兽医，兽医医药，动物防疫与检疫，兽药生产与营销，动物医学，宠物养护与疫病防治，兽医，宠物医学，动物养殖与疾病防治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林木遗传育种，森林培育，森林保护学,森林经理学,野生动植物保护与利用,园林植物与观赏园艺,林业，风景园林，林业硕士专业</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林学,森林保护,森林资源保护与游憩,经济林，园林，园林工程，林木生产教育，林学教育，森林资源管理与经济林方向</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森林资源保护，林业技术，园林技术，森林生态旅游，商品花卉，城市园林，林副新产品加工，城市园林规则与设计，园林工程技术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水产类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水产，水产养殖，捕捞学，渔业资源，渔业</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水产养殖学，海洋渔业科学与技术，水族科学与技术，水产养殖教育</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水产养殖技术，水生动植物保护，海洋捕捞技术，渔业综合技术，城市渔业，水族科学与技术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草学类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草业科学，草学</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草学，草业科学</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基础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基础医学</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临床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684" w:type="dxa"/>
            <w:vAlign w:val="center"/>
          </w:tcPr>
          <w:p>
            <w:pPr>
              <w:widowControl/>
              <w:spacing w:line="240" w:lineRule="exact"/>
              <w:rPr>
                <w:rFonts w:eastAsia="方正仿宋_GBK"/>
                <w:spacing w:val="-20"/>
                <w:kern w:val="0"/>
                <w:sz w:val="18"/>
                <w:szCs w:val="18"/>
              </w:rPr>
            </w:pPr>
            <w:r>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临床医学，麻醉学，放射医学，精神医学，精神病学与精神卫生，儿科医学,医学影像学，眼视光医学</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临床医学，麻醉学，社区医疗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口腔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口腔基础医学，口腔临床医学，口腔医学</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口腔医学，口腔修复工艺学</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口腔医学，口腔医学技术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公共卫生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与预防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流行病与卫生统计学，劳动卫生与环境卫生学，营养与食品卫生学，儿少卫生与妇幼保健学，卫生毒理学，军事预防医学，公共卫生</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预防医学，妇幼保健医学，营养与食品卫生，营养学，食品营养与检验教育，食品卫生与营养学，营养、食品与健康，全球健康学，卫生监督</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医学营养，卫生监督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中医学类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 xml:space="preserve">中医基础理论，中医临床基础，中医医史文献，方剂学，中医诊断学，中医内科学，中医外科学，中医骨伤科学，中医妇科学，中医儿科学，中医五官科学，针灸推拿学，民族医学，中医耳鼻咽喉科学，针灸学，中医文献，医古文 </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中医学，针灸推拿学，蒙医学，藏医学，维医学，中医养生康复学，推拿学，中医骨伤科学，中医文献学，中医五官科学，中医外科学，壮医学，哈医学</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中医学，蒙医学，藏医学，维医学，针灸推拿，中医骨伤，中医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中西医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结合类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中西医结合基础，中西医结合临床</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中西医临床医学，中西医结合</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中西医结合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药学类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药物化学，药剂学，生药学，药物分析学，微生物与生化药学，药理学，药学</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药学，药物制剂，应用药学，药物化学，药物分析学，药物分析，药理学，微生物与生化药学，临床药学，药剂学，海洋药学，生药学，药事管理</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药学，药物制剂技术，药品质量检测技术，药物分析技术，食品药品监督管理，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中药学类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中药学</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中药学，中草药栽培与鉴定，藏药学，中药资源与开发，蒙药学，中药资源，中药检定，中药药理学，中药资源，中药制药</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中药，维药学，中药鉴定与质量检测技术，现代中药技术，中药制药技术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法医学类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医学技术</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护理学类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护理学，护理</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护理学</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护理，助产，高等护理，高级护理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（八十一）管理科学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管理科学与工程，项目管理等工程硕士专业，营运与供应链管理，工程管理硕士专业</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工程造价管理，房地产经营与估价，工程造价，项目管理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工商管理，经营学，市场营销，财务管理，人力资源管理，商品学，审计，审计学，特许经营管理，连锁经营管理，资产评估，企业管理，</w:t>
            </w:r>
            <w:r>
              <w:rPr>
                <w:rFonts w:eastAsia="方正仿宋_GBK"/>
                <w:bCs/>
                <w:kern w:val="0"/>
                <w:sz w:val="18"/>
                <w:szCs w:val="18"/>
              </w:rPr>
              <w:t>企业经济管理，</w:t>
            </w:r>
            <w:r>
              <w:rPr>
                <w:rFonts w:eastAsia="方正仿宋_GBK"/>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农业经济管理，林业经济管理，农业推广硕士专业（农村与区域发展）</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农林经济管理，农村区域发展，农业经营管理教育</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图书情报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与档案</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图书馆学，情报学，档案学，图书情报硕士专业</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图书馆学，档案学，信息资源管理，科技档案，图书发行出版学，档案</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图书档案管理，档案管理学，档案学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物流管理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物流工程等工程硕士专业</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物流管理，物流工程，采购管理</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物流管理，国际物流，现代物流管理，物流信息，物流工程技术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工业工程，工业设计工程等工程硕士专业</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工业工程，标准化工程，质量管理工程，总图设计与工业运输，产品质量工程</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商务类</w:t>
            </w:r>
          </w:p>
        </w:tc>
        <w:tc>
          <w:tcPr>
            <w:tcW w:w="3684" w:type="dxa"/>
            <w:vAlign w:val="center"/>
          </w:tcPr>
          <w:p>
            <w:pPr>
              <w:widowControl/>
              <w:spacing w:line="240" w:lineRule="exact"/>
              <w:rPr>
                <w:rFonts w:eastAsia="方正仿宋_GBK"/>
                <w:kern w:val="0"/>
                <w:sz w:val="18"/>
                <w:szCs w:val="18"/>
              </w:rPr>
            </w:pP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电子商务，电子商务及法律</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电子商务，广告经营与管理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旅游</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旅游管理，旅游管理硕士专业</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旅游管理，旅游管理与服务教育，酒店管理，会展经济与管理</w:t>
            </w:r>
          </w:p>
        </w:tc>
        <w:tc>
          <w:tcPr>
            <w:tcW w:w="3363" w:type="dxa"/>
            <w:vAlign w:val="center"/>
          </w:tcPr>
          <w:p>
            <w:pPr>
              <w:widowControl/>
              <w:spacing w:line="200" w:lineRule="exact"/>
              <w:rPr>
                <w:rFonts w:eastAsia="方正仿宋_GBK"/>
                <w:kern w:val="0"/>
                <w:sz w:val="18"/>
                <w:szCs w:val="18"/>
              </w:rPr>
            </w:pPr>
            <w:r>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艺术学，艺术学理论</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艺术学，艺术史论</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音乐与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舞蹈学类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音乐学，舞蹈学，音乐与舞蹈学， 艺术硕士专业（音乐，舞蹈）</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舞台艺术设计，音乐表演，舞蹈表演，乐器维修技术，钢琴调律，乐器维护服务，钢琴伴奏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戏剧与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影视学类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戏剧与影视学，戏剧戏曲学，电影学，广播影视文艺学，艺术硕士专业（戏剧，戏曲，电影，广播电视）</w:t>
            </w:r>
          </w:p>
        </w:tc>
        <w:tc>
          <w:tcPr>
            <w:tcW w:w="4083" w:type="dxa"/>
            <w:vAlign w:val="center"/>
          </w:tcPr>
          <w:p>
            <w:pPr>
              <w:widowControl/>
              <w:spacing w:line="240" w:lineRule="exact"/>
              <w:rPr>
                <w:rFonts w:eastAsia="方正仿宋_GBK"/>
                <w:spacing w:val="-4"/>
                <w:kern w:val="0"/>
                <w:sz w:val="18"/>
                <w:szCs w:val="18"/>
              </w:rPr>
            </w:pPr>
            <w:r>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表演艺术，音乐表演，播音与主持艺术，主持与播音，服装表演，影视表演，戏曲表演，编导，模特与礼仪，乐器维修技术，杂技表演，钢琴调律，乐器维护服务，钢琴伴奏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美术学类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美术学，艺术硕士专业（美术）</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绘画，雕塑，美术学，摄影，中国画，油画 ，版画，壁画，中国画与书法，书法学</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雕塑，美术，摄影，绘画，书画鉴定，书法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673" w:type="dxa"/>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1027"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905" w:type="dxa"/>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设计学类</w:t>
            </w:r>
          </w:p>
        </w:tc>
        <w:tc>
          <w:tcPr>
            <w:tcW w:w="3684" w:type="dxa"/>
            <w:vAlign w:val="center"/>
          </w:tcPr>
          <w:p>
            <w:pPr>
              <w:widowControl/>
              <w:spacing w:line="240" w:lineRule="exact"/>
              <w:rPr>
                <w:rFonts w:eastAsia="方正仿宋_GBK"/>
                <w:kern w:val="0"/>
                <w:sz w:val="18"/>
                <w:szCs w:val="18"/>
              </w:rPr>
            </w:pPr>
            <w:r>
              <w:rPr>
                <w:rFonts w:eastAsia="方正仿宋_GBK"/>
                <w:kern w:val="0"/>
                <w:sz w:val="18"/>
                <w:szCs w:val="18"/>
              </w:rPr>
              <w:t>设计学，设计艺术学，艺术（艺术设计）</w:t>
            </w:r>
          </w:p>
        </w:tc>
        <w:tc>
          <w:tcPr>
            <w:tcW w:w="4083" w:type="dxa"/>
            <w:vAlign w:val="center"/>
          </w:tcPr>
          <w:p>
            <w:pPr>
              <w:widowControl/>
              <w:spacing w:line="240" w:lineRule="exact"/>
              <w:rPr>
                <w:rFonts w:eastAsia="方正仿宋_GBK"/>
                <w:kern w:val="0"/>
                <w:sz w:val="18"/>
                <w:szCs w:val="18"/>
              </w:rPr>
            </w:pPr>
            <w:r>
              <w:rPr>
                <w:rFonts w:eastAsia="方正仿宋_GBK"/>
                <w:kern w:val="0"/>
                <w:sz w:val="18"/>
                <w:szCs w:val="18"/>
              </w:rPr>
              <w:t>艺术设计学，公共艺术，艺术设计，环境艺术设计，工艺美术，工艺美术学，染织艺术设计， 服装艺术设计，陶瓷艺术设计，装潢艺术设计，装饰艺术设计，会展艺术与技术，装潢设计与工艺教育，艺术与科技，视觉传达设计，环境设计，产品设计，服装与服饰设计，数字媒体艺术</w:t>
            </w:r>
          </w:p>
        </w:tc>
        <w:tc>
          <w:tcPr>
            <w:tcW w:w="3363" w:type="dxa"/>
            <w:vAlign w:val="center"/>
          </w:tcPr>
          <w:p>
            <w:pPr>
              <w:widowControl/>
              <w:spacing w:line="240" w:lineRule="exact"/>
              <w:rPr>
                <w:rFonts w:eastAsia="方正仿宋_GBK"/>
                <w:kern w:val="0"/>
                <w:sz w:val="18"/>
                <w:szCs w:val="18"/>
              </w:rPr>
            </w:pPr>
            <w:r>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bl>
    <w:p/>
    <w:sectPr>
      <w:pgSz w:w="16838" w:h="11906"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8B0"/>
    <w:rsid w:val="000054D2"/>
    <w:rsid w:val="00013891"/>
    <w:rsid w:val="000239C1"/>
    <w:rsid w:val="0003027D"/>
    <w:rsid w:val="00051080"/>
    <w:rsid w:val="00066242"/>
    <w:rsid w:val="00066BD8"/>
    <w:rsid w:val="000A20ED"/>
    <w:rsid w:val="000A78CB"/>
    <w:rsid w:val="00100788"/>
    <w:rsid w:val="00137EFD"/>
    <w:rsid w:val="00142C20"/>
    <w:rsid w:val="00151DA7"/>
    <w:rsid w:val="001B4A09"/>
    <w:rsid w:val="001E1283"/>
    <w:rsid w:val="0026056C"/>
    <w:rsid w:val="002668DB"/>
    <w:rsid w:val="0027371F"/>
    <w:rsid w:val="00287CF1"/>
    <w:rsid w:val="002A7323"/>
    <w:rsid w:val="002F1B2B"/>
    <w:rsid w:val="00340C2C"/>
    <w:rsid w:val="00363E95"/>
    <w:rsid w:val="003772B0"/>
    <w:rsid w:val="003832CA"/>
    <w:rsid w:val="003A3189"/>
    <w:rsid w:val="003E04E1"/>
    <w:rsid w:val="00405518"/>
    <w:rsid w:val="00422F5A"/>
    <w:rsid w:val="004262C4"/>
    <w:rsid w:val="004455B3"/>
    <w:rsid w:val="00463433"/>
    <w:rsid w:val="004659A4"/>
    <w:rsid w:val="00466242"/>
    <w:rsid w:val="00475DCB"/>
    <w:rsid w:val="004959C3"/>
    <w:rsid w:val="00570FF2"/>
    <w:rsid w:val="00585B8E"/>
    <w:rsid w:val="005B07F1"/>
    <w:rsid w:val="005E3254"/>
    <w:rsid w:val="0061779D"/>
    <w:rsid w:val="006278B0"/>
    <w:rsid w:val="00627A4A"/>
    <w:rsid w:val="00652835"/>
    <w:rsid w:val="0065488A"/>
    <w:rsid w:val="006964B3"/>
    <w:rsid w:val="006A1E3E"/>
    <w:rsid w:val="006B5B62"/>
    <w:rsid w:val="006E1063"/>
    <w:rsid w:val="006F2E01"/>
    <w:rsid w:val="006F68C9"/>
    <w:rsid w:val="00702E6B"/>
    <w:rsid w:val="007A7BD6"/>
    <w:rsid w:val="007C172F"/>
    <w:rsid w:val="00820846"/>
    <w:rsid w:val="008571A5"/>
    <w:rsid w:val="00894021"/>
    <w:rsid w:val="0089773B"/>
    <w:rsid w:val="008A0EEA"/>
    <w:rsid w:val="008D315C"/>
    <w:rsid w:val="008F2D46"/>
    <w:rsid w:val="0091013F"/>
    <w:rsid w:val="00952412"/>
    <w:rsid w:val="00966FF9"/>
    <w:rsid w:val="00982C9E"/>
    <w:rsid w:val="009C745C"/>
    <w:rsid w:val="009E58D3"/>
    <w:rsid w:val="009F13E4"/>
    <w:rsid w:val="009F7431"/>
    <w:rsid w:val="00A023CC"/>
    <w:rsid w:val="00A36B67"/>
    <w:rsid w:val="00A4130E"/>
    <w:rsid w:val="00A4528D"/>
    <w:rsid w:val="00A837F5"/>
    <w:rsid w:val="00B2031A"/>
    <w:rsid w:val="00B35BF2"/>
    <w:rsid w:val="00B70C56"/>
    <w:rsid w:val="00B849CA"/>
    <w:rsid w:val="00BD7828"/>
    <w:rsid w:val="00C53C3A"/>
    <w:rsid w:val="00C654C9"/>
    <w:rsid w:val="00C74799"/>
    <w:rsid w:val="00C749DB"/>
    <w:rsid w:val="00CD609D"/>
    <w:rsid w:val="00CD65B5"/>
    <w:rsid w:val="00D06E9B"/>
    <w:rsid w:val="00D50C1A"/>
    <w:rsid w:val="00DC37D7"/>
    <w:rsid w:val="00DC6843"/>
    <w:rsid w:val="00E20241"/>
    <w:rsid w:val="00E43B15"/>
    <w:rsid w:val="00E9008B"/>
    <w:rsid w:val="00ED1B42"/>
    <w:rsid w:val="00EF43B1"/>
    <w:rsid w:val="00F41AEB"/>
    <w:rsid w:val="00F53BE8"/>
    <w:rsid w:val="00F65418"/>
    <w:rsid w:val="00F96FFB"/>
    <w:rsid w:val="00FC587F"/>
    <w:rsid w:val="00FC5DB6"/>
    <w:rsid w:val="00FC75BC"/>
    <w:rsid w:val="00FC7C55"/>
    <w:rsid w:val="00FD5E89"/>
    <w:rsid w:val="00FE0A3D"/>
    <w:rsid w:val="0B2F35D0"/>
    <w:rsid w:val="0FD74AA0"/>
    <w:rsid w:val="1BC15308"/>
    <w:rsid w:val="34F823B0"/>
    <w:rsid w:val="36723784"/>
    <w:rsid w:val="3B5D34B5"/>
    <w:rsid w:val="3C5C4F09"/>
    <w:rsid w:val="44CE58A0"/>
    <w:rsid w:val="4BEC1FD4"/>
    <w:rsid w:val="58D57A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Calibri" w:hAnsi="Calibri"/>
      <w:kern w:val="0"/>
      <w:sz w:val="18"/>
      <w:szCs w:val="20"/>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character" w:styleId="7">
    <w:name w:val="Hyperlink"/>
    <w:qFormat/>
    <w:uiPriority w:val="99"/>
    <w:rPr>
      <w:rFonts w:cs="Times New Roman"/>
      <w:color w:val="0000FF"/>
      <w:u w:val="single"/>
    </w:r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Footer Char"/>
    <w:qFormat/>
    <w:locked/>
    <w:uiPriority w:val="99"/>
    <w:rPr>
      <w:sz w:val="18"/>
    </w:rPr>
  </w:style>
  <w:style w:type="character" w:customStyle="1" w:styleId="10">
    <w:name w:val="Header Char"/>
    <w:qFormat/>
    <w:locked/>
    <w:uiPriority w:val="99"/>
    <w:rPr>
      <w:sz w:val="18"/>
    </w:rPr>
  </w:style>
  <w:style w:type="character" w:customStyle="1" w:styleId="11">
    <w:name w:val="Footer Char1"/>
    <w:semiHidden/>
    <w:qFormat/>
    <w:locked/>
    <w:uiPriority w:val="99"/>
    <w:rPr>
      <w:rFonts w:ascii="Times New Roman" w:hAnsi="Times New Roman" w:cs="Times New Roman"/>
      <w:sz w:val="18"/>
      <w:szCs w:val="18"/>
    </w:rPr>
  </w:style>
  <w:style w:type="character" w:customStyle="1" w:styleId="12">
    <w:name w:val="页脚 Char"/>
    <w:link w:val="3"/>
    <w:semiHidden/>
    <w:qFormat/>
    <w:locked/>
    <w:uiPriority w:val="99"/>
    <w:rPr>
      <w:rFonts w:ascii="Times New Roman" w:hAnsi="Times New Roman" w:eastAsia="宋体" w:cs="Times New Roman"/>
      <w:sz w:val="18"/>
      <w:szCs w:val="18"/>
    </w:rPr>
  </w:style>
  <w:style w:type="character" w:customStyle="1" w:styleId="13">
    <w:name w:val="Header Char1"/>
    <w:semiHidden/>
    <w:qFormat/>
    <w:locked/>
    <w:uiPriority w:val="99"/>
    <w:rPr>
      <w:rFonts w:ascii="Times New Roman" w:hAnsi="Times New Roman" w:cs="Times New Roman"/>
      <w:sz w:val="18"/>
      <w:szCs w:val="18"/>
    </w:rPr>
  </w:style>
  <w:style w:type="character" w:customStyle="1" w:styleId="14">
    <w:name w:val="页眉 Char"/>
    <w:link w:val="4"/>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25</Pages>
  <Words>21233</Words>
  <Characters>21249</Characters>
  <Lines>157</Lines>
  <Paragraphs>44</Paragraphs>
  <TotalTime>0</TotalTime>
  <ScaleCrop>false</ScaleCrop>
  <LinksUpToDate>false</LinksUpToDate>
  <CharactersWithSpaces>21333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2018-03-16T03:01:00Z</dcterms:created>
  <dc:creator>微软用户</dc:creator>
  <cp:lastModifiedBy>120553</cp:lastModifiedBy>
  <cp:lastPrinted>2018-09-25T10:20:00Z</cp:lastPrinted>
  <dcterms:modified xsi:type="dcterms:W3CDTF">2023-09-04T01:37:59Z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D0ED43627AA54F9C91AD27A0276F1AAD_13</vt:lpwstr>
  </property>
</Properties>
</file>