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31"/>
          <w:szCs w:val="31"/>
          <w:bdr w:val="none" w:color="auto" w:sz="0" w:space="0"/>
        </w:rPr>
        <w:t>附件</w:t>
      </w:r>
      <w:r>
        <w:rPr>
          <w:rFonts w:hint="default" w:ascii="方正仿宋_GBK" w:hAnsi="方正仿宋_GBK" w:eastAsia="方正仿宋_GBK" w:cs="方正仿宋_GBK"/>
          <w:sz w:val="31"/>
          <w:szCs w:val="31"/>
          <w:bdr w:val="none" w:color="auto" w:sz="0" w:space="0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sz w:val="24"/>
          <w:szCs w:val="24"/>
        </w:rPr>
      </w:pPr>
      <w:r>
        <w:rPr>
          <w:rStyle w:val="5"/>
          <w:rFonts w:hint="default" w:ascii="方正仿宋_GBK" w:hAnsi="方正仿宋_GBK" w:eastAsia="方正仿宋_GBK" w:cs="方正仿宋_GBK"/>
          <w:sz w:val="31"/>
          <w:szCs w:val="31"/>
          <w:bdr w:val="none" w:color="auto" w:sz="0" w:space="0"/>
        </w:rPr>
        <w:t>报名人数统计</w:t>
      </w: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585"/>
        <w:gridCol w:w="1408"/>
        <w:gridCol w:w="725"/>
        <w:gridCol w:w="776"/>
        <w:gridCol w:w="902"/>
        <w:gridCol w:w="1092"/>
        <w:gridCol w:w="700"/>
        <w:gridCol w:w="8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报考人数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审核通过人数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审核未通过人数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缴费人数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重庆市荣昌区中心血库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采血岗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重庆市荣昌区妇幼保健院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临床口腔岗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重庆市荣昌区妇幼保健院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超声医生岗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重庆市荣昌区人民医院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消化内科医师岗2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重庆市荣昌区人民医院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精神科医师岗1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岗位取消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重庆市荣昌区人民医院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精神科医师岗2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岗位取消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重庆市荣昌区人民医院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院感科干事岗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重庆市荣昌区人民医院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消化内科医师岗1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1A0C7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荣昌中学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242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荣昌中学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荣昌中学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安富中学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安富中学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高中化学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安富中学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高中化学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高中地理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永荣中学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高中历史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仁义中学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仁义中学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仁义中学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仁义中学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仁义中学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岗位取消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盘龙镇初级中学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1503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1337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1079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37E2142"/>
    <w:rsid w:val="137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2023-10-12T01:24:00Z</dcterms:created>
  <dc:creator>popoaaa</dc:creator>
  <cp:lastModifiedBy>popoaaa</cp:lastModifiedBy>
  <dcterms:modified xsi:type="dcterms:W3CDTF">2023-10-12T01:24:48Z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4CC4E377718D42F88952D60234A79970_11</vt:lpwstr>
  </property>
</Properties>
</file>