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商丘市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sz w:val="36"/>
          <w:szCs w:val="36"/>
          <w:shd w:val="clear" w:color="auto" w:fill="FFFFFF"/>
          <w:lang w:val="en-US" w:eastAsia="zh-CN"/>
        </w:rPr>
        <w:t>水资源保障中心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</w:p>
    <w:tbl>
      <w:tblPr>
        <w:tblStyle w:val="2"/>
        <w:tblW w:w="8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104"/>
        <w:gridCol w:w="847"/>
        <w:gridCol w:w="2941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  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汉语言文字学、新闻学、新闻与传播、计算机科学与技术、计算机技术、信息技术、法律、财政学、会计学专业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水利水电工程、水文学及水资源、水利工程、土木水利、资源与环境专业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硕士研究生及以上学历学位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Tg5ZWRlYTJiNmE2M2FjNjkxZGI1MGRkNjQzZWEifQ=="/>
  </w:docVars>
  <w:rsids>
    <w:rsidRoot w:val="3344591C"/>
    <w:rsid w:val="3344591C"/>
    <w:rsid w:val="7FB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2023-11-08T01:30:00Z</dcterms:created>
  <dc:creator>尊</dc:creator>
  <cp:lastModifiedBy>天涯陌路</cp:lastModifiedBy>
  <dcterms:modified xsi:type="dcterms:W3CDTF">2023-11-09T01:13:54Z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51F97B3BC4B448CBA359ED574F1129FF_13</vt:lpwstr>
  </property>
</Properties>
</file>