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6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492BC2"/>
    <w:rsid w:val="00040D36"/>
    <w:rsid w:val="0017640A"/>
    <w:rsid w:val="001F075D"/>
    <w:rsid w:val="00225671"/>
    <w:rsid w:val="00371B11"/>
    <w:rsid w:val="00492BC2"/>
    <w:rsid w:val="00492FDC"/>
    <w:rsid w:val="005C0971"/>
    <w:rsid w:val="006A4DCD"/>
    <w:rsid w:val="00776F85"/>
    <w:rsid w:val="00952DA5"/>
    <w:rsid w:val="00DF76B2"/>
    <w:rsid w:val="05E05F2F"/>
    <w:rsid w:val="2E464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Char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Char"/>
    <w:basedOn w:val="23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Char"/>
    <w:basedOn w:val="23"/>
    <w:link w:val="4"/>
    <w:semiHidden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Char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Char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Char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Char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38">
    <w:name w:val="HTML 预设格式 Char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Char"/>
    <w:basedOn w:val="23"/>
    <w:link w:val="8"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Char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uiPriority w:val="0"/>
  </w:style>
  <w:style w:type="character" w:customStyle="1" w:styleId="45">
    <w:name w:val="tinymce-fs4"/>
    <w:basedOn w:val="23"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2023-11-10T01:38:46Z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BB88EEDEB9F9434EA9E50ECDD9C2A88E_13</vt:lpwstr>
  </property>
</Properties>
</file>