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  <w:lang w:val="en-US" w:eastAsia="zh-CN"/>
        </w:rPr>
        <w:t>附件2</w:t>
      </w:r>
    </w:p>
    <w:p>
      <w:pPr>
        <w:spacing w:line="560" w:lineRule="exact"/>
        <w:ind w:firstLine="632" w:firstLineChars="200"/>
        <w:rPr>
          <w:rFonts w:hint="default" w:ascii="仿宋_GB2312" w:hAnsi="仿宋_GB2312" w:cs="仿宋_GB231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尧山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实验室简介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尧山实验室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是经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河南省人民政府批准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设立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省级实验室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为新型研发机构，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理事会领导下的主任负责制。尧山实验室主要面向国家重大战略需求，聚焦先进基础材料、关键战略材料和前沿新材料等领域的科学研究、技术开发、人才培养与学术交流工作，探索形成创新技术链、生态链、产业链协同发展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开放融合</w:t>
      </w:r>
      <w:r>
        <w:rPr>
          <w:rFonts w:hint="eastAsia" w:ascii="仿宋_GB2312" w:hAnsi="仿宋_GB2312" w:eastAsia="仿宋_GB2312" w:cs="仿宋_GB2312"/>
          <w:sz w:val="32"/>
          <w:szCs w:val="32"/>
        </w:rPr>
        <w:t>的科研机制,打造高水平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自立自强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平台。</w:t>
      </w:r>
    </w:p>
    <w:p/>
    <w:sectPr>
      <w:footerReference r:id="rId3" w:type="default"/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2FkNjdjOGNjMzM3MjE4YzgzOGZkMTNjZDFkOTkifQ=="/>
  </w:docVars>
  <w:rsids>
    <w:rsidRoot w:val="33316334"/>
    <w:rsid w:val="078E21AA"/>
    <w:rsid w:val="16FC29C4"/>
    <w:rsid w:val="3331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2023-11-13T01:20:00Z</dcterms:created>
  <dc:creator>Todd</dc:creator>
  <cp:lastModifiedBy>天涯陌路</cp:lastModifiedBy>
  <dcterms:modified xsi:type="dcterms:W3CDTF">2023-11-13T07:47:00Z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4405B2FBA44648A0862BAD441CDA3E20_13</vt:lpwstr>
  </property>
</Properties>
</file>