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left"/>
        <w:rPr>
          <w:rFonts w:eastAsia="方正仿宋_GBK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  <w:shd w:val="clear" w:color="auto" w:fill="FFFFFF"/>
        </w:rPr>
        <w:t>附件：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盐城市住房公积金管理中心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</w:t>
      </w:r>
      <w:r>
        <w:rPr>
          <w:rFonts w:hint="eastAsia" w:eastAsia="方正小标宋_GBK"/>
          <w:sz w:val="44"/>
          <w:szCs w:val="44"/>
        </w:rPr>
        <w:t>年公开招聘工作人员岗位表</w:t>
      </w:r>
    </w:p>
    <w:p>
      <w:pPr>
        <w:spacing w:line="560" w:lineRule="exact"/>
        <w:ind w:firstLine="645"/>
        <w:jc w:val="left"/>
        <w:rPr>
          <w:rFonts w:eastAsia="方正仿宋_GBK"/>
          <w:sz w:val="32"/>
          <w:szCs w:val="32"/>
          <w:shd w:val="clear" w:color="auto" w:fill="FFFFFF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46"/>
        <w:gridCol w:w="830"/>
        <w:gridCol w:w="1473"/>
        <w:gridCol w:w="503"/>
        <w:gridCol w:w="533"/>
        <w:gridCol w:w="667"/>
        <w:gridCol w:w="796"/>
        <w:gridCol w:w="667"/>
        <w:gridCol w:w="53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岗位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2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面试形式及所占比例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条件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招聘</w:t>
            </w:r>
          </w:p>
          <w:p>
            <w:pPr>
              <w:spacing w:line="240" w:lineRule="atLeast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对象</w:t>
            </w: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盐城市住房公积金管理中心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拨款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东台管理部工作人员</w:t>
            </w:r>
            <w:r>
              <w:rPr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从事住房公积金窗口服务及信息管理相关工作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取得相应学位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结构化面试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拨款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东台管理部工作人员</w:t>
            </w:r>
            <w:r>
              <w:rPr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从事住房公积金窗口服务及综合管理相关工作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经济类、工商管理类、财务财会类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取得相应学位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结构化面试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拨款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射阳管理部工作人员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从事住房公积金窗口服务及行政执法相关工作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取得相应学位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结构化面试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拨款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建湖管理部工作人员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从事住房公积金窗口服务及综合管理相关工作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经济类、工商管理类、财务财会类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取得相应学位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结构化面试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50%</w:t>
            </w:r>
          </w:p>
        </w:tc>
      </w:tr>
    </w:tbl>
    <w:p>
      <w:pPr>
        <w:spacing w:line="560" w:lineRule="exact"/>
        <w:ind w:firstLine="645"/>
        <w:jc w:val="left"/>
        <w:rPr>
          <w:rFonts w:eastAsia="方正仿宋_GBK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6D"/>
    <w:rsid w:val="0032758B"/>
    <w:rsid w:val="00372B83"/>
    <w:rsid w:val="00563C93"/>
    <w:rsid w:val="00720968"/>
    <w:rsid w:val="00980E02"/>
    <w:rsid w:val="00F4246D"/>
    <w:rsid w:val="082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2023-12-25T10:00:00Z</dcterms:created>
  <dc:creator>公积金中心收发员</dc:creator>
  <cp:lastModifiedBy>popoaaa</cp:lastModifiedBy>
  <dcterms:modified xsi:type="dcterms:W3CDTF">2023-12-27T00:49:16Z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DD504F37CF0D4BAFB8B88EFC451A9EFF_13</vt:lpwstr>
  </property>
</Properties>
</file>