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jc w:val="left"/>
        <w:rPr>
          <w:rFonts w:hint="eastAsia" w:eastAsia="黑体"/>
          <w:bCs/>
          <w:color w:val="000000"/>
          <w:spacing w:val="8"/>
          <w:sz w:val="28"/>
          <w:szCs w:val="28"/>
          <w:lang w:eastAsia="zh-CN"/>
        </w:rPr>
      </w:pPr>
      <w:bookmarkStart w:id="0" w:name="_GoBack"/>
      <w:bookmarkEnd w:id="0"/>
      <w:r>
        <w:rPr>
          <w:rFonts w:hAnsi="黑体" w:eastAsia="黑体"/>
          <w:bCs/>
          <w:color w:val="000000"/>
          <w:spacing w:val="8"/>
          <w:sz w:val="28"/>
          <w:szCs w:val="28"/>
        </w:rPr>
        <w:t>附件</w:t>
      </w:r>
      <w:r>
        <w:rPr>
          <w:rFonts w:hint="eastAsia" w:eastAsia="黑体"/>
          <w:bCs/>
          <w:color w:val="000000"/>
          <w:spacing w:val="8"/>
          <w:sz w:val="28"/>
          <w:szCs w:val="28"/>
          <w:lang w:val="en-US" w:eastAsia="zh-CN"/>
        </w:rPr>
        <w:t>5</w:t>
      </w:r>
    </w:p>
    <w:p>
      <w:pPr>
        <w:spacing w:after="156" w:afterLines="50"/>
        <w:jc w:val="center"/>
        <w:rPr>
          <w:rFonts w:eastAsia="华文中宋"/>
          <w:b/>
          <w:bCs/>
          <w:sz w:val="36"/>
          <w:szCs w:val="36"/>
        </w:rPr>
      </w:pPr>
      <w:r>
        <w:rPr>
          <w:rFonts w:eastAsia="华文中宋"/>
          <w:b/>
          <w:bCs/>
          <w:sz w:val="36"/>
          <w:szCs w:val="36"/>
        </w:rPr>
        <w:t>地图及交通方式介绍</w:t>
      </w:r>
    </w:p>
    <w:p>
      <w:pPr>
        <w:jc w:val="left"/>
        <w:rPr>
          <w:rFonts w:eastAsia="仿宋_GB2312"/>
          <w:sz w:val="32"/>
        </w:rPr>
      </w:pPr>
      <w:r>
        <w:rPr>
          <w:rFonts w:eastAsia="仿宋"/>
          <w:color w:val="000000"/>
          <w:sz w:val="32"/>
          <w:szCs w:val="32"/>
        </w:rPr>
        <w:drawing>
          <wp:inline distT="0" distB="0" distL="114300" distR="114300">
            <wp:extent cx="5488305" cy="3654425"/>
            <wp:effectExtent l="0" t="0" r="17145" b="3175"/>
            <wp:docPr id="1" name="图片 1" descr="F:\外国专家大厦地址图片.png外国专家大厦地址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:\外国专家大厦地址图片.png外国专家大厦地址图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8305" cy="365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jc w:val="both"/>
        <w:textAlignment w:val="auto"/>
        <w:outlineLvl w:val="9"/>
        <w:rPr>
          <w:rFonts w:ascii="Times New Roman" w:hAnsi="Times New Roman" w:eastAsia="仿宋_GB2312" w:cs="Times New Roman"/>
          <w:b/>
          <w:bCs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lang w:eastAsia="zh-CN"/>
        </w:rPr>
        <w:t>地址</w:t>
      </w:r>
      <w:r>
        <w:rPr>
          <w:rFonts w:ascii="Times New Roman" w:hAnsi="Times New Roman" w:eastAsia="仿宋_GB2312" w:cs="Times New Roman"/>
          <w:b/>
          <w:bCs/>
          <w:color w:val="000000"/>
          <w:kern w:val="2"/>
          <w:sz w:val="32"/>
          <w:szCs w:val="32"/>
        </w:rPr>
        <w:t>：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608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w w:val="95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w w:val="95"/>
          <w:sz w:val="32"/>
          <w:szCs w:val="32"/>
          <w:lang w:eastAsia="zh-CN"/>
        </w:rPr>
        <w:t>北京外国专家大厦（北京市朝阳区北四环中路华严北里8号院）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jc w:val="both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  <w:t>交通方式：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地铁：8号线可到奥体中心站、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10号线可到健德门地铁站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textAlignment w:val="auto"/>
        <w:outlineLvl w:val="9"/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公交：386路、400路内环、400路外环、407路、490路、613路、645路、658路到健翔桥东站。其他公交可到北辰西桥、健翔桥西站。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196CC2"/>
    <w:rsid w:val="04336343"/>
    <w:rsid w:val="10196CC2"/>
    <w:rsid w:val="191D1214"/>
    <w:rsid w:val="1EC92C63"/>
    <w:rsid w:val="36A55FF4"/>
    <w:rsid w:val="55D83544"/>
    <w:rsid w:val="58072860"/>
    <w:rsid w:val="6B30035C"/>
    <w:rsid w:val="7253280F"/>
    <w:rsid w:val="74B10291"/>
    <w:rsid w:val="75BB45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rss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2020-05-27T20:22:00Z</dcterms:created>
  <dc:creator>马翼春</dc:creator>
  <cp:lastModifiedBy>天涯陌路</cp:lastModifiedBy>
  <cp:lastPrinted>2021-03-01T18:00:00Z</cp:lastPrinted>
  <dcterms:modified xsi:type="dcterms:W3CDTF">2024-01-18T06:10:13Z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A10262B4586B4307BE06F145AECEFB2E_13</vt:lpwstr>
  </property>
</Properties>
</file>